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Круглий стіл</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«Забезпечувальні заходи у справах про контакт з дитиною. Тотожність VS ефективного захисту прав позивача</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Дата проведення:</w:t>
      </w:r>
      <w:r w:rsidDel="00000000" w:rsidR="00000000" w:rsidRPr="00000000">
        <w:rPr>
          <w:rFonts w:ascii="Times New Roman" w:cs="Times New Roman" w:eastAsia="Times New Roman" w:hAnsi="Times New Roman"/>
          <w:sz w:val="24"/>
          <w:szCs w:val="24"/>
          <w:rtl w:val="0"/>
        </w:rPr>
        <w:t xml:space="preserve"> 13 вересня 2021 року.</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Час проведення:</w:t>
      </w:r>
      <w:r w:rsidDel="00000000" w:rsidR="00000000" w:rsidRPr="00000000">
        <w:rPr>
          <w:rFonts w:ascii="Times New Roman" w:cs="Times New Roman" w:eastAsia="Times New Roman" w:hAnsi="Times New Roman"/>
          <w:sz w:val="24"/>
          <w:szCs w:val="24"/>
          <w:rtl w:val="0"/>
        </w:rPr>
        <w:t xml:space="preserve"> 16:00-19.00.</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Місце проведення:</w:t>
      </w:r>
      <w:r w:rsidDel="00000000" w:rsidR="00000000" w:rsidRPr="00000000">
        <w:rPr>
          <w:rFonts w:ascii="Times New Roman" w:cs="Times New Roman" w:eastAsia="Times New Roman" w:hAnsi="Times New Roman"/>
          <w:sz w:val="24"/>
          <w:szCs w:val="24"/>
          <w:rtl w:val="0"/>
        </w:rPr>
        <w:t xml:space="preserve"> онлайн платформа ZООM.</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Організатори:</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НААУ, за ініціативою Комітету з сімейного права, Комітету з цивільного права та процесу, ГО «Центр сімейно-правових досліджень», </w:t>
      </w:r>
      <w:r w:rsidDel="00000000" w:rsidR="00000000" w:rsidRPr="00000000">
        <w:rPr>
          <w:rFonts w:ascii="Times New Roman" w:cs="Times New Roman" w:eastAsia="Times New Roman" w:hAnsi="Times New Roman"/>
          <w:sz w:val="24"/>
          <w:szCs w:val="24"/>
          <w:rtl w:val="0"/>
        </w:rPr>
        <w:t xml:space="preserve">Центр сімейного права ВША НААУ.</w:t>
      </w:r>
    </w:p>
    <w:p w:rsidR="00000000" w:rsidDel="00000000" w:rsidP="00000000" w:rsidRDefault="00000000" w:rsidRPr="00000000" w14:paraId="00000008">
      <w:pPr>
        <w:pageBreakBefore w:val="0"/>
        <w:spacing w:after="0" w:lin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Модератор: </w:t>
      </w:r>
      <w:r w:rsidDel="00000000" w:rsidR="00000000" w:rsidRPr="00000000">
        <w:rPr>
          <w:rFonts w:ascii="Times New Roman" w:cs="Times New Roman" w:eastAsia="Times New Roman" w:hAnsi="Times New Roman"/>
          <w:b w:val="1"/>
          <w:i w:val="1"/>
          <w:sz w:val="24"/>
          <w:szCs w:val="24"/>
          <w:highlight w:val="white"/>
          <w:rtl w:val="0"/>
        </w:rPr>
        <w:t xml:space="preserve">Ганна Гаро</w:t>
      </w:r>
      <w:r w:rsidDel="00000000" w:rsidR="00000000" w:rsidRPr="00000000">
        <w:rPr>
          <w:rFonts w:ascii="Times New Roman" w:cs="Times New Roman" w:eastAsia="Times New Roman" w:hAnsi="Times New Roman"/>
          <w:sz w:val="24"/>
          <w:szCs w:val="24"/>
          <w:highlight w:val="white"/>
          <w:rtl w:val="0"/>
        </w:rPr>
        <w:t xml:space="preserve"> - адвокат, сімейний медіатор, к.ю.н., Голова Комітету з сімейного права НААУ, керівник Центру сімейного права ВША НААУ, лектор ВША НААУ</w:t>
      </w:r>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A">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Доповідачі</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адвокати, члени Комітетів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НААУ, науковці, а саме:</w:t>
      </w:r>
    </w:p>
    <w:p w:rsidR="00000000" w:rsidDel="00000000" w:rsidP="00000000" w:rsidRDefault="00000000" w:rsidRPr="00000000" w14:paraId="0000000B">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50505"/>
          <w:sz w:val="24"/>
          <w:szCs w:val="24"/>
          <w:rtl w:val="0"/>
        </w:rPr>
        <w:t xml:space="preserve">Анна Осадча</w:t>
      </w: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сімейний адвокат та медіатор, експерт з вирішення сімейних конфліктів, засновник та керуюча Адвокатським бюро «Анни Осадчої», член Ради Комітету з сімейного права НААУ, член Центру сімейного права ВША НААУ.</w:t>
      </w:r>
    </w:p>
    <w:p w:rsidR="00000000" w:rsidDel="00000000" w:rsidP="00000000" w:rsidRDefault="00000000" w:rsidRPr="00000000" w14:paraId="0000000C">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Світлана Савицька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заступник Голови Комітету з сімейного права НААУ, адвокат, к.ю.н.</w:t>
      </w:r>
      <w:r w:rsidDel="00000000" w:rsidR="00000000" w:rsidRPr="00000000">
        <w:rPr>
          <w:rtl w:val="0"/>
        </w:rPr>
      </w:r>
    </w:p>
    <w:p w:rsidR="00000000" w:rsidDel="00000000" w:rsidP="00000000" w:rsidRDefault="00000000" w:rsidRPr="00000000" w14:paraId="0000000D">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Олег Простибоженко</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адвокат, к.ю.н., Голова Комітету з цивільного права та процесу НААУ, голова правління Центру сімейно-правових досліджень.</w:t>
      </w:r>
    </w:p>
    <w:p w:rsidR="00000000" w:rsidDel="00000000" w:rsidP="00000000" w:rsidRDefault="00000000" w:rsidRPr="00000000" w14:paraId="0000000E">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Олег Голубничий</w:t>
      </w:r>
      <w:r w:rsidDel="00000000" w:rsidR="00000000" w:rsidRPr="00000000">
        <w:rPr>
          <w:rFonts w:ascii="Times New Roman" w:cs="Times New Roman" w:eastAsia="Times New Roman" w:hAnsi="Times New Roman"/>
          <w:sz w:val="24"/>
          <w:szCs w:val="24"/>
          <w:rtl w:val="0"/>
        </w:rPr>
        <w:t xml:space="preserve">, партнер, керівник практики сімейного та спадкового права АО Легард, член Центру сімейного права ВША НААУ.</w:t>
      </w:r>
    </w:p>
    <w:p w:rsidR="00000000" w:rsidDel="00000000" w:rsidP="00000000" w:rsidRDefault="00000000" w:rsidRPr="00000000" w14:paraId="0000000F">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Дмитро Незвіський</w:t>
      </w:r>
      <w:r w:rsidDel="00000000" w:rsidR="00000000" w:rsidRPr="00000000">
        <w:rPr>
          <w:rFonts w:ascii="Times New Roman" w:cs="Times New Roman" w:eastAsia="Times New Roman" w:hAnsi="Times New Roman"/>
          <w:sz w:val="24"/>
          <w:szCs w:val="24"/>
          <w:rtl w:val="0"/>
        </w:rPr>
        <w:t xml:space="preserve">, адвокат по сімейних справах.</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Анатолій Волков, </w:t>
      </w:r>
      <w:r w:rsidDel="00000000" w:rsidR="00000000" w:rsidRPr="00000000">
        <w:rPr>
          <w:rFonts w:ascii="Times New Roman" w:cs="Times New Roman" w:eastAsia="Times New Roman" w:hAnsi="Times New Roman"/>
          <w:sz w:val="24"/>
          <w:szCs w:val="24"/>
          <w:rtl w:val="0"/>
        </w:rPr>
        <w:t xml:space="preserve">адвокат,</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член Центру сімейного права ВША НААУ.</w:t>
      </w:r>
    </w:p>
    <w:p w:rsidR="00000000" w:rsidDel="00000000" w:rsidP="00000000" w:rsidRDefault="00000000" w:rsidRPr="00000000" w14:paraId="00000011">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Актуальність теми: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Сьогодні, коли кількість шлюбів, що закінчуються розлученням, є досить значною, актуальним є питання усунення перешкод у спілкуванні з дитиною зі сторони дорослого, з яким проживає дитина. Найчастіше до суду з такими позовами звертаються батьки дітей, проте непоодинокими є випадки звернення зі сторони баби і діда. </w:t>
      </w:r>
    </w:p>
    <w:p w:rsidR="00000000" w:rsidDel="00000000" w:rsidP="00000000" w:rsidRDefault="00000000" w:rsidRPr="00000000" w14:paraId="00000014">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Подібні позови можуть розглядатися роками. У випадку, коли позивач не має змоги підтримувати спілкування з дитиною протягом довготривалого періоду, із плином часу, навіть отримавши позитивне рішення суду, виконати його буває майже неможливо, оскільки за цей час втрачається емоційний зв’язок та дитина просто не бажає проводити час із позивачем. І навіть коли такі зустрічі відбуваються, дитина може ігнорувати або, ще гірше, відштовхувати близького родича, вередувати і плакати. </w:t>
      </w:r>
    </w:p>
    <w:p w:rsidR="00000000" w:rsidDel="00000000" w:rsidP="00000000" w:rsidRDefault="00000000" w:rsidRPr="00000000" w14:paraId="00000015">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чином, у цій категорії справ досить гостим є питання забезпечення позову шляхом зобов’язання надавати дитину для зустрічей згідно певного графіку. Така заява про забезпечення позову на перший погляд є доволі зрозумілою та логічною, якби не значна кількість «але» та позиція Верховного суду.</w:t>
      </w:r>
    </w:p>
    <w:p w:rsidR="00000000" w:rsidDel="00000000" w:rsidP="00000000" w:rsidRDefault="00000000" w:rsidRPr="00000000" w14:paraId="00000016">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Так, 09.06.2021 року </w:t>
      </w:r>
      <w:r w:rsidDel="00000000" w:rsidR="00000000" w:rsidRPr="00000000">
        <w:rPr>
          <w:rFonts w:ascii="Times New Roman" w:cs="Times New Roman" w:eastAsia="Times New Roman" w:hAnsi="Times New Roman"/>
          <w:color w:val="000000"/>
          <w:sz w:val="24"/>
          <w:szCs w:val="24"/>
          <w:rtl w:val="0"/>
        </w:rPr>
        <w:t xml:space="preserve">Верховний Суд у складі колегії суддів Першої судової палати Касаційного цивільного суду у своїй постанові по справі №755/5133/20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провадження № 61-3027 св 21) вказав на те, що є грубим порушенням положень частини десятої </w:t>
      </w:r>
      <w:hyperlink r:id="rId7">
        <w:r w:rsidDel="00000000" w:rsidR="00000000" w:rsidRPr="00000000">
          <w:rPr>
            <w:rFonts w:ascii="Times New Roman" w:cs="Times New Roman" w:eastAsia="Times New Roman" w:hAnsi="Times New Roman"/>
            <w:color w:val="000000"/>
            <w:sz w:val="24"/>
            <w:szCs w:val="24"/>
            <w:rtl w:val="0"/>
          </w:rPr>
          <w:t xml:space="preserve">статті 150 ЦПК України</w:t>
        </w:r>
      </w:hyperlink>
      <w:r w:rsidDel="00000000" w:rsidR="00000000" w:rsidRPr="00000000">
        <w:rPr>
          <w:rFonts w:ascii="Times New Roman" w:cs="Times New Roman" w:eastAsia="Times New Roman" w:hAnsi="Times New Roman"/>
          <w:color w:val="000000"/>
          <w:sz w:val="24"/>
          <w:szCs w:val="24"/>
          <w:rtl w:val="0"/>
        </w:rPr>
        <w:t xml:space="preserve"> забезпечення позову шляхом задоволення тотожних позову вимог.</w:t>
      </w:r>
    </w:p>
    <w:p w:rsidR="00000000" w:rsidDel="00000000" w:rsidP="00000000" w:rsidRDefault="00000000" w:rsidRPr="00000000" w14:paraId="00000017">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 цьому у своїй постанові під тотожними суд має на увазі не лише вимоги, що мають однаковий зміст як у позовній заяві, так і у заяві про забезпечення позову, а й ті, що є схожими за своїм змістом. Також суд мотивує неможливість забезпечення позову у такий спосіб тим, що це фактично є розгляд справи по суті, що в свою чергу є порушенням норм процесуального прав. </w:t>
      </w:r>
    </w:p>
    <w:p w:rsidR="00000000" w:rsidDel="00000000" w:rsidP="00000000" w:rsidRDefault="00000000" w:rsidRPr="00000000" w14:paraId="00000018">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 однієї сторони, такі висновки є повністю обґрунтованими. Розгляд заяви про забезпечення позову шляхом зобов’язання надавати дитину для зустрічей відповідно певного графіку має відбуватися як мінімум із з’ясуванням нормального графіку дитини, враховуючи час її навчання, відпочинку тощо. В іншому випадку це призведе до порушення інтересів дитини. З’ясування цих питань під час розгляду заяви про забезпечення позову не вимагається, оскільки такі питання мають досліджуватись при розгляді справи по суті. Але як же захистити права того із батьків (баби, діда), що прагнуть до спілкування із дитиною?</w:t>
      </w:r>
    </w:p>
    <w:p w:rsidR="00000000" w:rsidDel="00000000" w:rsidP="00000000" w:rsidRDefault="00000000" w:rsidRPr="00000000" w14:paraId="00000019">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Тобто, </w:t>
      </w:r>
      <w:r w:rsidDel="00000000" w:rsidR="00000000" w:rsidRPr="00000000">
        <w:rPr>
          <w:rFonts w:ascii="Times New Roman" w:cs="Times New Roman" w:eastAsia="Times New Roman" w:hAnsi="Times New Roman"/>
          <w:sz w:val="24"/>
          <w:szCs w:val="24"/>
          <w:rtl w:val="0"/>
        </w:rPr>
        <w:t xml:space="preserve">законодавство не передбачає чітких критеріїв тотожності позовних вимог, не передбачає обов’язку суду з’ясовувати інтереси дитини при розгляді будь-яких заяв, клопотань, де інтереси дитини можуть бути порушено, відсутній реальний механізм захисту прав того із батьків </w:t>
      </w:r>
      <w:r w:rsidDel="00000000" w:rsidR="00000000" w:rsidRPr="00000000">
        <w:rPr>
          <w:rFonts w:ascii="Times New Roman" w:cs="Times New Roman" w:eastAsia="Times New Roman" w:hAnsi="Times New Roman"/>
          <w:color w:val="000000"/>
          <w:sz w:val="24"/>
          <w:szCs w:val="24"/>
          <w:rtl w:val="0"/>
        </w:rPr>
        <w:t xml:space="preserve">(баби, діда)</w:t>
      </w:r>
      <w:r w:rsidDel="00000000" w:rsidR="00000000" w:rsidRPr="00000000">
        <w:rPr>
          <w:rFonts w:ascii="Times New Roman" w:cs="Times New Roman" w:eastAsia="Times New Roman" w:hAnsi="Times New Roman"/>
          <w:sz w:val="24"/>
          <w:szCs w:val="24"/>
          <w:rtl w:val="0"/>
        </w:rPr>
        <w:t xml:space="preserve">, хто проживає окремо та захист інтересів дитини у таких справах. Всі ці питання наразі потребують ґрунтовного обговорення. </w:t>
      </w:r>
    </w:p>
    <w:p w:rsidR="00000000" w:rsidDel="00000000" w:rsidP="00000000" w:rsidRDefault="00000000" w:rsidRPr="00000000" w14:paraId="0000001A">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проведення круглого столу: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з’ясувати</w:t>
      </w:r>
      <w:r w:rsidDel="00000000" w:rsidR="00000000" w:rsidRPr="00000000">
        <w:rPr>
          <w:rFonts w:ascii="Times New Roman" w:cs="Times New Roman" w:eastAsia="Times New Roman" w:hAnsi="Times New Roman"/>
          <w:sz w:val="24"/>
          <w:szCs w:val="24"/>
          <w:rtl w:val="0"/>
        </w:rPr>
        <w:t xml:space="preserve"> поняття тотожності в контексті абз. 1 ч. 10 </w:t>
      </w:r>
      <w:hyperlink r:id="rId8">
        <w:r w:rsidDel="00000000" w:rsidR="00000000" w:rsidRPr="00000000">
          <w:rPr>
            <w:rFonts w:ascii="Times New Roman" w:cs="Times New Roman" w:eastAsia="Times New Roman" w:hAnsi="Times New Roman"/>
            <w:color w:val="000000"/>
            <w:sz w:val="24"/>
            <w:szCs w:val="24"/>
            <w:u w:val="none"/>
            <w:rtl w:val="0"/>
          </w:rPr>
          <w:t xml:space="preserve">ст. 150 ЦПК України</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згідно якого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проаналізувати законодавчі можливості усунення перешкод у спілкування з дитиною (онуком) до вирішення справи в суді та реальність їх реалізації;</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обговорити доцільність та законодавчу можливість з’ясування обставин, які зможуть надати можливість уникнення порушення інтересів дитини при розгляді заяв про забезпечення позову;</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проаналізувати судову практику з питання забезпечення позову у справах про усунення перешкод у спілкуванні шляхом зобов’язання надавати дитину для зустрічей згідно певного графіку;</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обговорити наявність необхідних законодавчих змін для вирішення суперечностей у питаннях забезпечення позову у справах про усунення перешкод у спілкуванні шляхом зобов’язання надавати дитину для зустрічей згідно певного графіку;</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узагальнити висновки круглого столу. </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shd w:fill="ffffff" w:val="clear"/>
        <w:tabs>
          <w:tab w:val="left" w:pos="8505"/>
          <w:tab w:val="left" w:pos="9921"/>
        </w:tabs>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Питання, що заплановані до обговорення:</w:t>
      </w: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(попередня програма)</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Реєстрація учасників</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15:50 – 16:00</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Вступні слова:</w:t>
      </w:r>
      <w:r w:rsidDel="00000000" w:rsidR="00000000" w:rsidRPr="00000000">
        <w:rPr>
          <w:rFonts w:ascii="Times New Roman" w:cs="Times New Roman" w:eastAsia="Times New Roman" w:hAnsi="Times New Roman"/>
          <w:sz w:val="24"/>
          <w:szCs w:val="24"/>
          <w:rtl w:val="0"/>
        </w:rPr>
        <w:t xml:space="preserve"> модератор, запрошені - 20 хвилин</w:t>
      </w:r>
    </w:p>
    <w:p w:rsidR="00000000" w:rsidDel="00000000" w:rsidP="00000000" w:rsidRDefault="00000000" w:rsidRPr="00000000" w14:paraId="00000028">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16:00 – 16:20</w:t>
      </w:r>
    </w:p>
    <w:p w:rsidR="00000000" w:rsidDel="00000000" w:rsidP="00000000" w:rsidRDefault="00000000" w:rsidRPr="00000000" w14:paraId="00000029">
      <w:pPr>
        <w:tabs>
          <w:tab w:val="left" w:pos="567"/>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5"/>
        </w:numPr>
        <w:spacing w:after="0" w:line="240" w:lineRule="auto"/>
        <w:ind w:left="4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Виступи доповідачів та дискусія</w:t>
      </w:r>
      <w:r w:rsidDel="00000000" w:rsidR="00000000" w:rsidRPr="00000000">
        <w:rPr>
          <w:rtl w:val="0"/>
        </w:rPr>
      </w:r>
    </w:p>
    <w:p w:rsidR="00000000" w:rsidDel="00000000" w:rsidP="00000000" w:rsidRDefault="00000000" w:rsidRPr="00000000" w14:paraId="0000002B">
      <w:pPr>
        <w:spacing w:after="0" w:line="240" w:lineRule="auto"/>
        <w:ind w:left="4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Актуальність теми забезпечення позову у справах про усунення перешкод у спілкуванні з дитиною/онуком шляхом зобов’язання надавати дитину для побачення відповідно певного графіку.</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color w:val="050505"/>
          <w:sz w:val="24"/>
          <w:szCs w:val="24"/>
          <w:rtl w:val="0"/>
        </w:rPr>
        <w:t xml:space="preserve">Анна Осадча,</w:t>
      </w:r>
      <w:r w:rsidDel="00000000" w:rsidR="00000000" w:rsidRPr="00000000">
        <w:rPr>
          <w:rFonts w:ascii="Times New Roman" w:cs="Times New Roman" w:eastAsia="Times New Roman" w:hAnsi="Times New Roman"/>
          <w:color w:val="050505"/>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сімейний адвокат та медіатор, експерт з вирішення сімейних конфліктів, засновник та керуюча Адвокатським бюро «Анни Осадчої», член Комітету з сімейного права НААУ, член Центру сімейного права ВША НААУ</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- 10 хвилин</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16:20-16:40</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numPr>
          <w:ilvl w:val="0"/>
          <w:numId w:val="4"/>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Графіки, зустрічі, спілкування, участь у вихованні – все це пострадянські юридичні рудименти. КОНТАК З ДИТИНОЮ - ось новий формат вирішення цих питань </w:t>
      </w:r>
    </w:p>
    <w:p w:rsidR="00000000" w:rsidDel="00000000" w:rsidP="00000000" w:rsidRDefault="00000000" w:rsidRPr="00000000" w14:paraId="00000032">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sz w:val="24"/>
          <w:szCs w:val="24"/>
          <w:rtl w:val="0"/>
        </w:rPr>
        <w:t xml:space="preserve">Дмитро Незвіський</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адвокат по сімейних справах -</w:t>
      </w:r>
      <w:r w:rsidDel="00000000" w:rsidR="00000000" w:rsidRPr="00000000">
        <w:rPr>
          <w:rFonts w:ascii="Times New Roman" w:cs="Times New Roman" w:eastAsia="Times New Roman" w:hAnsi="Times New Roman"/>
          <w:sz w:val="24"/>
          <w:szCs w:val="24"/>
          <w:rtl w:val="0"/>
        </w:rPr>
        <w:t xml:space="preserve"> 10 хвилин</w:t>
      </w:r>
      <w:r w:rsidDel="00000000" w:rsidR="00000000" w:rsidRPr="00000000">
        <w:rPr>
          <w:rtl w:val="0"/>
        </w:rPr>
      </w:r>
    </w:p>
    <w:p w:rsidR="00000000" w:rsidDel="00000000" w:rsidP="00000000" w:rsidRDefault="00000000" w:rsidRPr="00000000" w14:paraId="00000033">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34">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16:40-17:00</w:t>
      </w:r>
    </w:p>
    <w:p w:rsidR="00000000" w:rsidDel="00000000" w:rsidP="00000000" w:rsidRDefault="00000000" w:rsidRPr="00000000" w14:paraId="00000035">
      <w:pPr>
        <w:pageBreakBefore w:val="0"/>
        <w:spacing w:after="0"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Поняття тотожності в контексті абз. 1 ч. 10 </w:t>
      </w:r>
      <w:hyperlink r:id="r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 150 ЦПК України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згідно якого не допускається вжиття заходів забезпечення позову, які за змістом є тотожними задоволенню заявлених позовних вимог, якщо при цьому спір не вирішується по суті.</w:t>
      </w:r>
      <w:r w:rsidDel="00000000" w:rsidR="00000000" w:rsidRPr="00000000">
        <w:rPr>
          <w:rtl w:val="0"/>
        </w:rPr>
      </w:r>
    </w:p>
    <w:p w:rsidR="00000000" w:rsidDel="00000000" w:rsidP="00000000" w:rsidRDefault="00000000" w:rsidRPr="00000000" w14:paraId="00000037">
      <w:pPr>
        <w:pageBreakBefore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sz w:val="24"/>
          <w:szCs w:val="24"/>
          <w:rtl w:val="0"/>
        </w:rPr>
        <w:t xml:space="preserve">Олег Голубничий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партнер, керівник практики сімейного та спадкового права АО Легард, член Центру сімейного права ВША НААУ -</w:t>
      </w:r>
      <w:r w:rsidDel="00000000" w:rsidR="00000000" w:rsidRPr="00000000">
        <w:rPr>
          <w:rFonts w:ascii="Times New Roman" w:cs="Times New Roman" w:eastAsia="Times New Roman" w:hAnsi="Times New Roman"/>
          <w:sz w:val="24"/>
          <w:szCs w:val="24"/>
          <w:rtl w:val="0"/>
        </w:rPr>
        <w:t xml:space="preserve"> 10 хвилин</w:t>
      </w:r>
      <w:r w:rsidDel="00000000" w:rsidR="00000000" w:rsidRPr="00000000">
        <w:rPr>
          <w:rtl w:val="0"/>
        </w:rPr>
      </w:r>
    </w:p>
    <w:p w:rsidR="00000000" w:rsidDel="00000000" w:rsidP="00000000" w:rsidRDefault="00000000" w:rsidRPr="00000000" w14:paraId="00000038">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39">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17:00-17:20</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3"/>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Способи захисту інтересів дитини при вирішенні питання про забезпечення позову у справах про усунення перешкод у спілкуванні з дитиною/онуком шляхом зобов’язання надавати дитину для побачення відповідно певного графіку.</w:t>
      </w:r>
      <w:r w:rsidDel="00000000" w:rsidR="00000000" w:rsidRPr="00000000">
        <w:rPr>
          <w:rtl w:val="0"/>
        </w:rPr>
      </w:r>
    </w:p>
    <w:p w:rsidR="00000000" w:rsidDel="00000000" w:rsidP="00000000" w:rsidRDefault="00000000" w:rsidRPr="00000000" w14:paraId="0000003C">
      <w:pPr>
        <w:pageBreakBefore w:val="0"/>
        <w:spacing w:after="0" w:line="240" w:lineRule="auto"/>
        <w:jc w:val="both"/>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sz w:val="24"/>
          <w:szCs w:val="24"/>
          <w:rtl w:val="0"/>
        </w:rPr>
        <w:t xml:space="preserve">Анатолій Волков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адвокат, член Центру сімейного права ВША НААУ.</w:t>
      </w:r>
      <w:r w:rsidDel="00000000" w:rsidR="00000000" w:rsidRPr="00000000">
        <w:rPr>
          <w:rtl w:val="0"/>
        </w:rPr>
      </w:r>
    </w:p>
    <w:p w:rsidR="00000000" w:rsidDel="00000000" w:rsidP="00000000" w:rsidRDefault="00000000" w:rsidRPr="00000000" w14:paraId="0000003D">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10 хвилин</w:t>
      </w:r>
    </w:p>
    <w:p w:rsidR="00000000" w:rsidDel="00000000" w:rsidP="00000000" w:rsidRDefault="00000000" w:rsidRPr="00000000" w14:paraId="0000003E">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3F">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17:20-17:40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Судова практика з питання забезпечення позову у справах про усунення перешкод у спілкуванні шляхом зобов’язання надавати дитину для зустрічей згідно певного графіку. </w:t>
      </w:r>
      <w:r w:rsidDel="00000000" w:rsidR="00000000" w:rsidRPr="00000000">
        <w:rPr>
          <w:rtl w:val="0"/>
        </w:rPr>
      </w:r>
    </w:p>
    <w:p w:rsidR="00000000" w:rsidDel="00000000" w:rsidP="00000000" w:rsidRDefault="00000000" w:rsidRPr="00000000" w14:paraId="00000042">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sz w:val="24"/>
          <w:szCs w:val="24"/>
          <w:highlight w:val="white"/>
          <w:rtl w:val="0"/>
        </w:rPr>
        <w:t xml:space="preserve">Світлана Савицька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заступник Голови Комітету з сімейного права НААУ, адвокат, к.ю.н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10 хвилин</w:t>
      </w:r>
    </w:p>
    <w:p w:rsidR="00000000" w:rsidDel="00000000" w:rsidP="00000000" w:rsidRDefault="00000000" w:rsidRPr="00000000" w14:paraId="00000043">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44">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17:40-18:00</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2"/>
        </w:numPr>
        <w:spacing w:after="0"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Пропозиції щодо внесення змін до норм чинного законодавства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для забезпечення прав усіх учасників сімейного конфлікт, в тому числі дитини, при вирішенні </w:t>
      </w:r>
      <w:r w:rsidDel="00000000" w:rsidR="00000000" w:rsidRPr="00000000">
        <w:rPr>
          <w:rFonts w:ascii="Times New Roman" w:cs="Times New Roman" w:eastAsia="Times New Roman" w:hAnsi="Times New Roman"/>
          <w:b w:val="1"/>
          <w:color w:val="000000"/>
          <w:sz w:val="24"/>
          <w:szCs w:val="24"/>
          <w:rtl w:val="0"/>
        </w:rPr>
        <w:t xml:space="preserve">питання забезпечення позову у справах про усунення перешкод у спілкуванні шляхом зобов’язання надавати дитину для зустрічей згідно певного графіку.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7">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доповідач: </w:t>
      </w:r>
      <w:r w:rsidDel="00000000" w:rsidR="00000000" w:rsidRPr="00000000">
        <w:rPr>
          <w:rFonts w:ascii="Times New Roman" w:cs="Times New Roman" w:eastAsia="Times New Roman" w:hAnsi="Times New Roman"/>
          <w:b w:val="1"/>
          <w:sz w:val="24"/>
          <w:szCs w:val="24"/>
          <w:rtl w:val="0"/>
        </w:rPr>
        <w:t xml:space="preserve">Олег Простибоженко</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адвокат, к.ю.н., Голова Комітету з цивільного права та процесу НААУ, голова правління Центру сімейно-правових досліджень</w:t>
      </w:r>
      <w:r w:rsidDel="00000000" w:rsidR="00000000" w:rsidRPr="00000000">
        <w:rPr>
          <w:rFonts w:ascii="Times New Roman" w:cs="Times New Roman" w:eastAsia="Times New Roman" w:hAnsi="Times New Roman"/>
          <w:sz w:val="24"/>
          <w:szCs w:val="24"/>
          <w:rtl w:val="0"/>
        </w:rPr>
        <w:t xml:space="preserve"> - 10 хвилин</w:t>
      </w:r>
    </w:p>
    <w:p w:rsidR="00000000" w:rsidDel="00000000" w:rsidP="00000000" w:rsidRDefault="00000000" w:rsidRPr="00000000" w14:paraId="00000048">
      <w:pPr>
        <w:pageBreakBefore w:val="0"/>
        <w:shd w:fill="ffffff" w:val="clea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 для запитань та відповідей: 10 хвилин</w:t>
      </w:r>
    </w:p>
    <w:p w:rsidR="00000000" w:rsidDel="00000000" w:rsidP="00000000" w:rsidRDefault="00000000" w:rsidRPr="00000000" w14:paraId="00000049">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18:00-18:20</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ageBreakBefore w:val="0"/>
        <w:numPr>
          <w:ilvl w:val="0"/>
          <w:numId w:val="5"/>
        </w:numPr>
        <w:spacing w:before="280" w:line="240" w:lineRule="auto"/>
        <w:ind w:left="4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Обговорення із присутніми, підсумок висновків. </w:t>
      </w:r>
    </w:p>
    <w:p w:rsidR="00000000" w:rsidDel="00000000" w:rsidP="00000000" w:rsidRDefault="00000000" w:rsidRPr="00000000" w14:paraId="0000004C">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18:20-19:00</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rFonts w:ascii="Times New Roman" w:cs="Times New Roman" w:eastAsia="Times New Roman" w:hAnsi="Times New Roman"/>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420" w:hanging="360"/>
      </w:pPr>
      <w:rPr>
        <w:b w:val="1"/>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41FB3"/>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List Paragraph"/>
    <w:basedOn w:val="a"/>
    <w:uiPriority w:val="34"/>
    <w:qFormat w:val="1"/>
    <w:rsid w:val="00141FB3"/>
    <w:pPr>
      <w:ind w:left="720"/>
      <w:contextualSpacing w:val="1"/>
    </w:pPr>
    <w:rPr>
      <w:lang w:eastAsia="ru-RU"/>
    </w:rPr>
  </w:style>
  <w:style w:type="character" w:styleId="a5">
    <w:name w:val="Emphasis"/>
    <w:basedOn w:val="a0"/>
    <w:uiPriority w:val="20"/>
    <w:qFormat w:val="1"/>
    <w:rsid w:val="00141FB3"/>
    <w:rPr>
      <w:i w:val="1"/>
      <w:iCs w:val="1"/>
    </w:rPr>
  </w:style>
  <w:style w:type="paragraph" w:styleId="a6">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7">
    <w:name w:val="Hyperlink"/>
    <w:uiPriority w:val="99"/>
    <w:unhideWhenUsed w:val="1"/>
    <w:rsid w:val="00CD040B"/>
    <w:rPr>
      <w:color w:val="0000ff"/>
      <w:u w:val="single"/>
    </w:rPr>
  </w:style>
  <w:style w:type="paragraph" w:styleId="a8">
    <w:name w:val="Normal (Web)"/>
    <w:basedOn w:val="a"/>
    <w:uiPriority w:val="99"/>
    <w:unhideWhenUsed w:val="1"/>
    <w:rsid w:val="00A948C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ch.ligazakon.ua/l_doc2.nsf/link1/an_8427/ed_2020_07_14/pravo1/T04_1618.html?pravo=1#842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arch.ligazakon.ua/l_doc2.nsf/link1/an_8427/ed_2021_04_27/pravo1/T04_1618.html?pravo=1#8427" TargetMode="External"/><Relationship Id="rId8" Type="http://schemas.openxmlformats.org/officeDocument/2006/relationships/hyperlink" Target="http://search.ligazakon.ua/l_doc2.nsf/link1/an_8427/ed_2020_07_14/pravo1/T04_1618.html?pravo=1#8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dZ4YOso46zRNXyU8q1SD8Gy0g==">AMUW2mXioC3bB33diqgtZ7+Och4kUvoLx51VmYjQDyoCQvhYO0yRzL4yRt3jKkYcr/PA/8X2L6a9hgFSrOGTQjU7VlVVibd3v0KS5l3Dg1cVs8CV1SZ0mD0=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2021-07-18T23:15:00Z</dcterms:created>
  <dc:creator>Пользователь</dc:creator>
</cp:coreProperties>
</file>